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7A" w:rsidRDefault="006D45C5" w:rsidP="00DD757A">
      <w:pPr>
        <w:ind w:right="-27"/>
      </w:pPr>
      <w:r>
        <w:t>Insegno</w:t>
      </w:r>
      <w:r w:rsidR="00E00863" w:rsidRPr="00E00863">
        <w:t xml:space="preserve"> letteratura italiana</w:t>
      </w:r>
      <w:r w:rsidR="00FF7ECF">
        <w:t xml:space="preserve"> presso il</w:t>
      </w:r>
      <w:r w:rsidR="00FF7ECF" w:rsidRPr="00FF7ECF">
        <w:t xml:space="preserve"> </w:t>
      </w:r>
      <w:r w:rsidR="00FF7ECF">
        <w:t>Dipartimento di Scienze Umane</w:t>
      </w:r>
      <w:r w:rsidR="00FF7ECF" w:rsidRPr="00932D4B">
        <w:t xml:space="preserve"> </w:t>
      </w:r>
      <w:r w:rsidR="00FF7ECF">
        <w:t>de</w:t>
      </w:r>
      <w:r w:rsidR="00FF7ECF" w:rsidRPr="00932D4B">
        <w:t>ll’Università degli Studi della Basilicata</w:t>
      </w:r>
      <w:r w:rsidR="00FF7ECF">
        <w:t xml:space="preserve">, in qualità di </w:t>
      </w:r>
      <w:r w:rsidR="00DD757A" w:rsidRPr="00932D4B">
        <w:t xml:space="preserve">professore </w:t>
      </w:r>
      <w:r w:rsidR="00DD757A">
        <w:t>associato</w:t>
      </w:r>
      <w:r w:rsidR="00FF7ECF">
        <w:t xml:space="preserve">. I </w:t>
      </w:r>
      <w:r>
        <w:t>miei</w:t>
      </w:r>
      <w:r w:rsidR="00DD757A" w:rsidRPr="00932D4B">
        <w:t xml:space="preserve"> </w:t>
      </w:r>
      <w:r w:rsidR="00FF7ECF">
        <w:t>i</w:t>
      </w:r>
      <w:r w:rsidR="00DD757A" w:rsidRPr="00FF7ECF">
        <w:t>nteressi di ricerca</w:t>
      </w:r>
      <w:r w:rsidR="00465AAC">
        <w:t xml:space="preserve"> vertono sulla </w:t>
      </w:r>
      <w:r w:rsidR="00DD757A">
        <w:t xml:space="preserve">letteratura umanistica e rinascimentale; </w:t>
      </w:r>
      <w:r w:rsidR="00B31BD1">
        <w:t>l’opera di Boccaccio</w:t>
      </w:r>
      <w:r w:rsidR="00DD757A">
        <w:t xml:space="preserve">; </w:t>
      </w:r>
      <w:r w:rsidR="00465AAC">
        <w:t>gli aspetti e i problemi del</w:t>
      </w:r>
      <w:r w:rsidR="000A4EC9">
        <w:t xml:space="preserve">l’intertestualità. </w:t>
      </w:r>
      <w:r>
        <w:t>Mi</w:t>
      </w:r>
      <w:r w:rsidR="000A4EC9">
        <w:t xml:space="preserve"> </w:t>
      </w:r>
      <w:r>
        <w:t>occupo</w:t>
      </w:r>
      <w:r w:rsidR="00465AAC">
        <w:t xml:space="preserve"> </w:t>
      </w:r>
      <w:r w:rsidR="0032074E">
        <w:t xml:space="preserve">inoltre </w:t>
      </w:r>
      <w:r w:rsidR="00465AAC">
        <w:t>di teoria e storia della retorica e</w:t>
      </w:r>
      <w:r w:rsidR="00DD757A">
        <w:t xml:space="preserve"> </w:t>
      </w:r>
      <w:r w:rsidR="0032074E">
        <w:t xml:space="preserve">di </w:t>
      </w:r>
      <w:r w:rsidR="00DD757A">
        <w:t>critica tematica.</w:t>
      </w:r>
    </w:p>
    <w:p w:rsidR="00DD757A" w:rsidRDefault="00DD757A"/>
    <w:p w:rsidR="00FC6892" w:rsidRPr="00932D4B" w:rsidRDefault="006D45C5" w:rsidP="00465AAC">
      <w:pPr>
        <w:ind w:right="-27"/>
      </w:pPr>
      <w:r>
        <w:t>Mi sono</w:t>
      </w:r>
      <w:r w:rsidR="00465AAC">
        <w:t xml:space="preserve"> formata tra l’</w:t>
      </w:r>
      <w:r w:rsidR="00465AAC" w:rsidRPr="00932D4B">
        <w:t>Università di Pisa</w:t>
      </w:r>
      <w:r w:rsidR="00465AAC">
        <w:t xml:space="preserve">, la </w:t>
      </w:r>
      <w:r w:rsidR="00DD757A" w:rsidRPr="00932D4B">
        <w:t xml:space="preserve">Scuola Normale Superiore </w:t>
      </w:r>
      <w:r w:rsidR="00465AAC">
        <w:t xml:space="preserve">e l’Istituto Nazionale per </w:t>
      </w:r>
      <w:r w:rsidR="00DD757A" w:rsidRPr="00932D4B">
        <w:t>gli studi sul Rinascimento</w:t>
      </w:r>
      <w:r w:rsidR="00DD757A">
        <w:t xml:space="preserve"> </w:t>
      </w:r>
      <w:r w:rsidR="00AF2956">
        <w:t>di Firenze. Ho</w:t>
      </w:r>
      <w:r w:rsidR="00465AAC">
        <w:t xml:space="preserve"> collaborato a numerosi p</w:t>
      </w:r>
      <w:r w:rsidR="00FC6892" w:rsidRPr="00465AAC">
        <w:t>rogetti di ricerca scientifica</w:t>
      </w:r>
      <w:r w:rsidR="00B36BE8">
        <w:t>, tra i quali:</w:t>
      </w:r>
      <w:r w:rsidR="00465AAC">
        <w:t xml:space="preserve"> </w:t>
      </w:r>
      <w:r w:rsidR="00FC6892" w:rsidRPr="00932D4B">
        <w:t>“L’</w:t>
      </w:r>
      <w:r w:rsidR="00FC6892" w:rsidRPr="00932D4B">
        <w:rPr>
          <w:i/>
        </w:rPr>
        <w:t>Orlando Furioso</w:t>
      </w:r>
      <w:r w:rsidR="00FC6892" w:rsidRPr="00932D4B">
        <w:t xml:space="preserve"> e la sua fortuna figurativa. Ricerche per un archivio digitale di parole e immagini”</w:t>
      </w:r>
      <w:r w:rsidR="00B36BE8">
        <w:t xml:space="preserve"> (2006-</w:t>
      </w:r>
      <w:r w:rsidR="00B36BE8" w:rsidRPr="00932D4B">
        <w:t>2010</w:t>
      </w:r>
      <w:r w:rsidR="00B36BE8">
        <w:t xml:space="preserve">, Scuola Normale Superiore di Pisa, </w:t>
      </w:r>
      <w:r w:rsidR="00B36BE8" w:rsidRPr="00932D4B">
        <w:t>Università della Basilicata</w:t>
      </w:r>
      <w:r w:rsidR="00B36BE8">
        <w:t>, Università del Salento, Università Suor Orsola Benincasa)</w:t>
      </w:r>
      <w:r w:rsidR="00A55054">
        <w:t>;</w:t>
      </w:r>
      <w:r w:rsidR="00B36BE8" w:rsidRPr="00932D4B">
        <w:t xml:space="preserve"> </w:t>
      </w:r>
      <w:r w:rsidR="00A55054">
        <w:t>“Enciclopedia Bruniana” (Scuola Normale Superiore di Pisa,</w:t>
      </w:r>
      <w:r w:rsidR="00465AAC">
        <w:t xml:space="preserve"> </w:t>
      </w:r>
      <w:r w:rsidR="00AF2956">
        <w:t>2013-14)</w:t>
      </w:r>
      <w:r w:rsidR="00465AAC">
        <w:t xml:space="preserve">; </w:t>
      </w:r>
      <w:r w:rsidR="00FC6892" w:rsidRPr="00932D4B">
        <w:t>“La Biblioteca ideale di Giordano Bruno”</w:t>
      </w:r>
      <w:r w:rsidR="00465AAC">
        <w:t xml:space="preserve"> e “La vita di Giordano Bruno”</w:t>
      </w:r>
      <w:r w:rsidR="00A55054">
        <w:t xml:space="preserve"> (</w:t>
      </w:r>
      <w:r w:rsidR="00FC6892" w:rsidRPr="00932D4B">
        <w:t>Istituto Nazionale per gli Studi sul Rinascimento</w:t>
      </w:r>
      <w:r w:rsidR="00A55054">
        <w:t xml:space="preserve">, </w:t>
      </w:r>
      <w:r w:rsidR="00AF2956">
        <w:t>1998-2000)</w:t>
      </w:r>
      <w:r w:rsidR="00FC6892" w:rsidRPr="00932D4B">
        <w:t>.</w:t>
      </w:r>
    </w:p>
    <w:p w:rsidR="00465AAC" w:rsidRDefault="00465AAC" w:rsidP="00FC6892">
      <w:pPr>
        <w:ind w:right="-27"/>
        <w:rPr>
          <w:smallCaps/>
        </w:rPr>
      </w:pPr>
    </w:p>
    <w:p w:rsidR="00B31BD1" w:rsidRDefault="00FC6892" w:rsidP="005A130F">
      <w:pPr>
        <w:spacing w:line="240" w:lineRule="auto"/>
        <w:ind w:right="-27"/>
        <w:rPr>
          <w:smallCaps/>
        </w:rPr>
      </w:pPr>
      <w:r w:rsidRPr="003C1376">
        <w:rPr>
          <w:smallCaps/>
        </w:rPr>
        <w:t>Pubblicazioni:</w:t>
      </w:r>
    </w:p>
    <w:p w:rsidR="00465AAC" w:rsidRDefault="00465AAC" w:rsidP="005A130F">
      <w:pPr>
        <w:spacing w:line="240" w:lineRule="auto"/>
        <w:ind w:right="-27"/>
        <w:rPr>
          <w:smallCaps/>
        </w:rPr>
      </w:pPr>
    </w:p>
    <w:p w:rsidR="00F55066" w:rsidRDefault="00465AA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>-</w:t>
      </w:r>
      <w:r w:rsidR="00FC6892" w:rsidRPr="002A3388">
        <w:rPr>
          <w:rFonts w:ascii="Bodoni SvtyTwo OS ITC TT-Book" w:hAnsi="Bodoni SvtyTwo OS ITC TT-Book"/>
          <w:b w:val="0"/>
          <w:sz w:val="24"/>
        </w:rPr>
        <w:t xml:space="preserve"> </w:t>
      </w:r>
      <w:r w:rsidR="00FC6892" w:rsidRPr="00E268FA">
        <w:rPr>
          <w:rFonts w:ascii="Bodoni SvtyTwo OS ITC TT-Book" w:hAnsi="Bodoni SvtyTwo OS ITC TT-Book"/>
          <w:b w:val="0"/>
          <w:i/>
          <w:sz w:val="24"/>
        </w:rPr>
        <w:t>Retorica. Guida all’argomentazione e alle figure del discorso</w:t>
      </w:r>
      <w:r w:rsidR="00FC6892">
        <w:rPr>
          <w:rFonts w:ascii="Bodoni SvtyTwo OS ITC TT-Book" w:hAnsi="Bodoni SvtyTwo OS ITC TT-Book"/>
          <w:b w:val="0"/>
          <w:sz w:val="24"/>
        </w:rPr>
        <w:t>, Roma, Carocci, 2017;</w:t>
      </w:r>
    </w:p>
    <w:p w:rsidR="00465AAC" w:rsidRDefault="00465AA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F55066" w:rsidRDefault="00465AA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 xml:space="preserve">- </w:t>
      </w:r>
      <w:r>
        <w:rPr>
          <w:rFonts w:ascii="Bodoni SvtyTwo OS ITC TT-Book" w:hAnsi="Bodoni SvtyTwo OS ITC TT-Book"/>
          <w:b w:val="0"/>
          <w:i/>
          <w:sz w:val="24"/>
        </w:rPr>
        <w:t>Il lettore creativo. Studi per Lina Bolzoni</w:t>
      </w:r>
      <w:r>
        <w:rPr>
          <w:rFonts w:ascii="Bodoni SvtyTwo OS ITC TT-Book" w:hAnsi="Bodoni SvtyTwo OS ITC TT-Book"/>
          <w:b w:val="0"/>
          <w:sz w:val="24"/>
        </w:rPr>
        <w:t>, a cura di M.P. Ellero, M. Residori, M. Rossi, A. Torre</w:t>
      </w:r>
      <w:r w:rsidR="00EF1FD7">
        <w:rPr>
          <w:rFonts w:ascii="Bodoni SvtyTwo OS ITC TT-Book" w:hAnsi="Bodoni SvtyTwo OS ITC TT-Book"/>
          <w:b w:val="0"/>
          <w:sz w:val="24"/>
        </w:rPr>
        <w:t>, Lucca, Pacini Fazzi, 2017;</w:t>
      </w:r>
    </w:p>
    <w:p w:rsidR="00FC6892" w:rsidRPr="00465AAC" w:rsidRDefault="00FC6892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FC6892" w:rsidRPr="00932D4B" w:rsidRDefault="00465AA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 xml:space="preserve">- </w:t>
      </w:r>
      <w:r w:rsidR="00FC6892" w:rsidRPr="00932D4B">
        <w:rPr>
          <w:rFonts w:ascii="Bodoni SvtyTwo OS ITC TT-Book" w:hAnsi="Bodoni SvtyTwo OS ITC TT-Book"/>
          <w:b w:val="0"/>
          <w:i/>
          <w:sz w:val="24"/>
        </w:rPr>
        <w:t>Lo specchio della fantasia. Retorica, magia e scrittura in Giordano Bruno</w:t>
      </w:r>
      <w:r w:rsidR="00FC6892" w:rsidRPr="00932D4B">
        <w:rPr>
          <w:rFonts w:ascii="Bodoni SvtyTwo OS ITC TT-Book" w:hAnsi="Bodoni SvtyTwo OS ITC TT-Book"/>
          <w:b w:val="0"/>
          <w:sz w:val="24"/>
        </w:rPr>
        <w:t>, Lucca, Pacini Fazzi</w:t>
      </w:r>
      <w:r w:rsidR="00EF1FD7">
        <w:rPr>
          <w:rFonts w:ascii="Bodoni SvtyTwo OS ITC TT-Book" w:hAnsi="Bodoni SvtyTwo OS ITC TT-Book"/>
          <w:b w:val="0"/>
          <w:sz w:val="24"/>
        </w:rPr>
        <w:t>,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 2005;</w:t>
      </w:r>
    </w:p>
    <w:p w:rsidR="005A130F" w:rsidRDefault="005A130F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FC6892" w:rsidRPr="00932D4B" w:rsidRDefault="00465AA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>-</w:t>
      </w:r>
      <w:r w:rsidR="00FC6892">
        <w:rPr>
          <w:rFonts w:ascii="Bodoni SvtyTwo OS ITC TT-Book" w:hAnsi="Bodoni SvtyTwo OS ITC TT-Book"/>
          <w:b w:val="0"/>
          <w:sz w:val="24"/>
        </w:rPr>
        <w:t xml:space="preserve"> </w:t>
      </w:r>
      <w:r w:rsidR="00FC6892" w:rsidRPr="00932D4B">
        <w:rPr>
          <w:rFonts w:ascii="Bodoni SvtyTwo OS ITC TT-Book" w:hAnsi="Bodoni SvtyTwo OS ITC TT-Book"/>
          <w:b w:val="0"/>
          <w:sz w:val="24"/>
        </w:rPr>
        <w:t>Giordano B</w:t>
      </w:r>
      <w:r w:rsidR="00FC6892" w:rsidRPr="00932D4B">
        <w:rPr>
          <w:rFonts w:ascii="Bodoni SvtyTwo OS ITC TT-Book" w:hAnsi="Bodoni SvtyTwo OS ITC TT-Book"/>
          <w:b w:val="0"/>
          <w:smallCaps/>
          <w:sz w:val="24"/>
        </w:rPr>
        <w:t>runo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, </w:t>
      </w:r>
      <w:r w:rsidR="00FC6892" w:rsidRPr="00932D4B">
        <w:rPr>
          <w:rFonts w:ascii="Bodoni SvtyTwo OS ITC TT-Book" w:hAnsi="Bodoni SvtyTwo OS ITC TT-Book"/>
          <w:b w:val="0"/>
          <w:i/>
          <w:sz w:val="24"/>
        </w:rPr>
        <w:t>Spaccio della bestia trionfante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, in </w:t>
      </w:r>
      <w:r w:rsidR="00FC6892" w:rsidRPr="00932D4B">
        <w:rPr>
          <w:rFonts w:ascii="Bodoni SvtyTwo OS ITC TT-Book" w:hAnsi="Bodoni SvtyTwo OS ITC TT-Book"/>
          <w:b w:val="0"/>
          <w:i/>
          <w:sz w:val="24"/>
        </w:rPr>
        <w:t>Opere Italiane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, testi critici di G. Aquilecchia, </w:t>
      </w:r>
      <w:r w:rsidR="00EF1FD7">
        <w:rPr>
          <w:rFonts w:ascii="Bodoni SvtyTwo OS ITC TT-Book" w:hAnsi="Bodoni SvtyTwo OS ITC TT-Book"/>
          <w:b w:val="0"/>
          <w:sz w:val="24"/>
        </w:rPr>
        <w:t xml:space="preserve">commento di M.P. Ellero, </w:t>
      </w:r>
      <w:r w:rsidR="00FC6892" w:rsidRPr="00932D4B">
        <w:rPr>
          <w:rFonts w:ascii="Bodoni SvtyTwo OS ITC TT-Book" w:hAnsi="Bodoni SvtyTwo OS ITC TT-Book"/>
          <w:b w:val="0"/>
          <w:sz w:val="24"/>
        </w:rPr>
        <w:t>Torino, UTET</w:t>
      </w:r>
      <w:r w:rsidR="00EF1FD7">
        <w:rPr>
          <w:rFonts w:ascii="Bodoni SvtyTwo OS ITC TT-Book" w:hAnsi="Bodoni SvtyTwo OS ITC TT-Book"/>
          <w:b w:val="0"/>
          <w:sz w:val="24"/>
        </w:rPr>
        <w:t>,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 2003; </w:t>
      </w:r>
    </w:p>
    <w:p w:rsidR="005A130F" w:rsidRDefault="005A130F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FC6892" w:rsidRPr="00932D4B" w:rsidRDefault="00465AA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>-</w:t>
      </w:r>
      <w:r w:rsidR="00FC6892">
        <w:rPr>
          <w:rFonts w:ascii="Bodoni SvtyTwo OS ITC TT-Book" w:hAnsi="Bodoni SvtyTwo OS ITC TT-Book"/>
          <w:b w:val="0"/>
          <w:sz w:val="24"/>
        </w:rPr>
        <w:t xml:space="preserve"> </w:t>
      </w:r>
      <w:r w:rsidR="00FC6892" w:rsidRPr="00932D4B">
        <w:rPr>
          <w:rFonts w:ascii="Bodoni SvtyTwo OS ITC TT-Book" w:hAnsi="Bodoni SvtyTwo OS ITC TT-Book"/>
          <w:b w:val="0"/>
          <w:sz w:val="24"/>
        </w:rPr>
        <w:t>Giordano B</w:t>
      </w:r>
      <w:r w:rsidR="00FC6892" w:rsidRPr="00932D4B">
        <w:rPr>
          <w:rFonts w:ascii="Bodoni SvtyTwo OS ITC TT-Book" w:hAnsi="Bodoni SvtyTwo OS ITC TT-Book"/>
          <w:b w:val="0"/>
          <w:smallCaps/>
          <w:sz w:val="24"/>
        </w:rPr>
        <w:t>runo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, </w:t>
      </w:r>
      <w:r w:rsidR="00FC6892" w:rsidRPr="00932D4B">
        <w:rPr>
          <w:rFonts w:ascii="Bodoni SvtyTwo OS ITC TT-Book" w:hAnsi="Bodoni SvtyTwo OS ITC TT-Book"/>
          <w:b w:val="0"/>
          <w:i/>
          <w:sz w:val="24"/>
        </w:rPr>
        <w:t>Expulsion de la bête triomphante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, a cura di G. Aquilecchia, N. Ordine e M. P. Ellero, Les Belles Lettres, Parigi 1999; </w:t>
      </w:r>
    </w:p>
    <w:p w:rsidR="005A130F" w:rsidRDefault="005A130F" w:rsidP="005A130F">
      <w:pPr>
        <w:spacing w:line="240" w:lineRule="auto"/>
        <w:ind w:left="284" w:right="-27"/>
      </w:pPr>
    </w:p>
    <w:p w:rsidR="00E57D38" w:rsidRPr="007A4A9B" w:rsidRDefault="00E57D38" w:rsidP="005A130F">
      <w:pPr>
        <w:spacing w:line="240" w:lineRule="auto"/>
        <w:ind w:left="284" w:right="-27"/>
        <w:rPr>
          <w:szCs w:val="22"/>
        </w:rPr>
      </w:pPr>
      <w:r>
        <w:t xml:space="preserve">- </w:t>
      </w:r>
      <w:r w:rsidRPr="0008553C">
        <w:rPr>
          <w:i/>
        </w:rPr>
        <w:t xml:space="preserve">Natura, desiderio e virtù tra </w:t>
      </w:r>
      <w:r w:rsidRPr="0008553C">
        <w:t>Filocolo</w:t>
      </w:r>
      <w:r w:rsidRPr="0008553C">
        <w:rPr>
          <w:i/>
        </w:rPr>
        <w:t xml:space="preserve"> e </w:t>
      </w:r>
      <w:r w:rsidRPr="0008553C">
        <w:t>Decameron</w:t>
      </w:r>
      <w:r w:rsidRPr="0008553C">
        <w:rPr>
          <w:i/>
        </w:rPr>
        <w:t>. Aristotele e le corti d’amore</w:t>
      </w:r>
      <w:r>
        <w:t xml:space="preserve">, in </w:t>
      </w:r>
      <w:r>
        <w:rPr>
          <w:i/>
        </w:rPr>
        <w:t>Il lettore creativo. Studi per Lina Bolzoni</w:t>
      </w:r>
      <w:r>
        <w:t>, a cura di M.P. Ellero, M. Residori, M. Rossi, A. Torre, Lucca, Pacini Fazzi, 2017, pp. 381-397;</w:t>
      </w:r>
    </w:p>
    <w:p w:rsidR="005A130F" w:rsidRDefault="005A130F" w:rsidP="005A1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84"/>
        <w:rPr>
          <w:rFonts w:cs="Times New Roman"/>
          <w:szCs w:val="28"/>
          <w:lang w:val="en-GB"/>
        </w:rPr>
      </w:pPr>
    </w:p>
    <w:p w:rsidR="00D54FFC" w:rsidRPr="007B1315" w:rsidRDefault="00D54FFC" w:rsidP="005A1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84"/>
        <w:rPr>
          <w:rFonts w:cs="Times New Roman"/>
          <w:szCs w:val="28"/>
          <w:lang w:val="en-GB"/>
        </w:rPr>
      </w:pPr>
      <w:r>
        <w:rPr>
          <w:rFonts w:cs="Times New Roman"/>
          <w:szCs w:val="28"/>
          <w:lang w:val="en-GB"/>
        </w:rPr>
        <w:t xml:space="preserve">- </w:t>
      </w:r>
      <w:r>
        <w:rPr>
          <w:rFonts w:cs="Times New Roman"/>
          <w:i/>
          <w:lang w:val="en-GB"/>
        </w:rPr>
        <w:t>On Time, Theologians and Virgins. A note on</w:t>
      </w:r>
      <w:r>
        <w:rPr>
          <w:rFonts w:cs="Times New Roman"/>
          <w:lang w:val="en-GB"/>
        </w:rPr>
        <w:t xml:space="preserve"> Decameron, II 7, «Italian Studies», 72/1, 2017, pp.33-41</w:t>
      </w:r>
      <w:r>
        <w:rPr>
          <w:rFonts w:cs="Times New Roman"/>
          <w:szCs w:val="28"/>
          <w:lang w:val="en-GB"/>
        </w:rPr>
        <w:t>;</w:t>
      </w:r>
    </w:p>
    <w:p w:rsidR="005A130F" w:rsidRDefault="005A130F" w:rsidP="005A130F">
      <w:pPr>
        <w:spacing w:line="240" w:lineRule="auto"/>
        <w:ind w:left="284" w:right="-27"/>
      </w:pPr>
    </w:p>
    <w:p w:rsidR="00FC6892" w:rsidRPr="0064336D" w:rsidRDefault="00465AAC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5B6190">
        <w:rPr>
          <w:i/>
        </w:rPr>
        <w:t>Per un lessico dell’industria. Osservazioni sulla seconda e sulla terza giornata del</w:t>
      </w:r>
      <w:r w:rsidR="00FC6892">
        <w:t xml:space="preserve"> </w:t>
      </w:r>
      <w:r w:rsidR="00FC6892" w:rsidRPr="005B6190">
        <w:t>Decameron</w:t>
      </w:r>
      <w:r w:rsidR="00FC6892">
        <w:t>, «Lettere Italiane», 69, 2017, pp. 34-58;</w:t>
      </w:r>
    </w:p>
    <w:p w:rsidR="005A130F" w:rsidRDefault="005A130F" w:rsidP="005A130F">
      <w:pPr>
        <w:spacing w:line="240" w:lineRule="auto"/>
        <w:ind w:left="284" w:right="-27"/>
        <w:rPr>
          <w:szCs w:val="22"/>
        </w:rPr>
      </w:pPr>
    </w:p>
    <w:p w:rsidR="00F55066" w:rsidRPr="0046580E" w:rsidRDefault="00F55066" w:rsidP="005A130F">
      <w:pPr>
        <w:spacing w:line="240" w:lineRule="auto"/>
        <w:ind w:left="284" w:right="-27"/>
      </w:pPr>
      <w:r>
        <w:rPr>
          <w:szCs w:val="22"/>
        </w:rPr>
        <w:t>-</w:t>
      </w:r>
      <w:r>
        <w:rPr>
          <w:i/>
          <w:szCs w:val="22"/>
        </w:rPr>
        <w:t xml:space="preserve"> </w:t>
      </w:r>
      <w:r w:rsidRPr="008640E9">
        <w:rPr>
          <w:i/>
        </w:rPr>
        <w:t>La ballata di Filostrato (</w:t>
      </w:r>
      <w:r w:rsidRPr="008640E9">
        <w:t>Decameron</w:t>
      </w:r>
      <w:r w:rsidRPr="008640E9">
        <w:rPr>
          <w:i/>
        </w:rPr>
        <w:t>, IV): un esercizio di lettura</w:t>
      </w:r>
      <w:r>
        <w:t xml:space="preserve">, in </w:t>
      </w:r>
      <w:r w:rsidRPr="00431CBB">
        <w:rPr>
          <w:i/>
        </w:rPr>
        <w:t>Boccaccio in versi</w:t>
      </w:r>
      <w:r w:rsidRPr="00AB495E">
        <w:t xml:space="preserve">, </w:t>
      </w:r>
      <w:r>
        <w:t>a cura di P. Mazzitello, G. Raboni, P. Rinoldi, C. Varotti, Firenze, Franco Cesati editore, 2016, pp. 143-159</w:t>
      </w:r>
      <w:r w:rsidRPr="00AB495E">
        <w:t>;</w:t>
      </w:r>
      <w:r>
        <w:t xml:space="preserve"> </w:t>
      </w:r>
    </w:p>
    <w:p w:rsidR="005A130F" w:rsidRDefault="005A130F" w:rsidP="005A130F">
      <w:pPr>
        <w:spacing w:line="240" w:lineRule="auto"/>
        <w:ind w:left="284" w:right="-27"/>
      </w:pPr>
    </w:p>
    <w:p w:rsidR="00FC6892" w:rsidRDefault="007770CB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C43FDF">
        <w:rPr>
          <w:i/>
        </w:rPr>
        <w:t xml:space="preserve">Libertà e necessità nel </w:t>
      </w:r>
      <w:r w:rsidR="00FC6892" w:rsidRPr="00C43FDF">
        <w:t>Decameron</w:t>
      </w:r>
      <w:r w:rsidR="00FC6892" w:rsidRPr="00C43FDF">
        <w:rPr>
          <w:i/>
        </w:rPr>
        <w:t>. Lisa, Ghismonda e le papere di Filippo Balducci</w:t>
      </w:r>
      <w:r w:rsidR="00FC6892">
        <w:t>,</w:t>
      </w:r>
      <w:r w:rsidR="00FC6892" w:rsidRPr="00C43FDF">
        <w:t>«Giornale Storico della Letteratura Italiana»</w:t>
      </w:r>
      <w:r w:rsidR="00FC6892">
        <w:t>, CXXXII, 2015, pp. 390-413</w:t>
      </w:r>
      <w:r w:rsidR="00FC6892" w:rsidRPr="00C43FDF">
        <w:t>;</w:t>
      </w:r>
    </w:p>
    <w:p w:rsidR="005A130F" w:rsidRDefault="005A130F" w:rsidP="005A130F">
      <w:pPr>
        <w:spacing w:line="240" w:lineRule="auto"/>
        <w:ind w:left="284" w:right="-27"/>
      </w:pPr>
    </w:p>
    <w:p w:rsidR="00EE63DF" w:rsidRPr="00287201" w:rsidRDefault="00EE63DF" w:rsidP="005A130F">
      <w:pPr>
        <w:spacing w:line="240" w:lineRule="auto"/>
        <w:ind w:left="284" w:right="-27"/>
      </w:pPr>
      <w:r>
        <w:t xml:space="preserve">- </w:t>
      </w:r>
      <w:r w:rsidRPr="0046580E">
        <w:rPr>
          <w:i/>
          <w:szCs w:val="22"/>
        </w:rPr>
        <w:t>Desiderio, virtù e fortuna in</w:t>
      </w:r>
      <w:r w:rsidRPr="0046580E">
        <w:rPr>
          <w:szCs w:val="22"/>
        </w:rPr>
        <w:t xml:space="preserve"> Decameron </w:t>
      </w:r>
      <w:r w:rsidRPr="0046580E">
        <w:rPr>
          <w:i/>
          <w:szCs w:val="22"/>
        </w:rPr>
        <w:t>II 8 e X 7</w:t>
      </w:r>
      <w:r>
        <w:rPr>
          <w:szCs w:val="22"/>
        </w:rPr>
        <w:t xml:space="preserve">. </w:t>
      </w:r>
      <w:r>
        <w:rPr>
          <w:i/>
          <w:szCs w:val="22"/>
        </w:rPr>
        <w:t>Lisa e l’</w:t>
      </w:r>
      <w:r>
        <w:rPr>
          <w:szCs w:val="22"/>
        </w:rPr>
        <w:t>aegritudo amoris, in Boccaccio 1313-2013, a cura di F. Ciabattoni, E. Filosa, K. Olson, Ravenna, Longo Editore, 2015, pp. 187-201;</w:t>
      </w:r>
    </w:p>
    <w:p w:rsidR="005A130F" w:rsidRDefault="005A130F" w:rsidP="005A1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84" w:right="-27"/>
      </w:pPr>
    </w:p>
    <w:p w:rsidR="00FC6892" w:rsidRPr="00AF2C95" w:rsidRDefault="007770CB" w:rsidP="005A1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84" w:right="-27"/>
        <w:rPr>
          <w:szCs w:val="28"/>
        </w:rPr>
      </w:pPr>
      <w:r>
        <w:t>-</w:t>
      </w:r>
      <w:r w:rsidR="00FC6892" w:rsidRPr="0086384D">
        <w:t xml:space="preserve"> </w:t>
      </w:r>
      <w:r w:rsidR="00FC6892" w:rsidRPr="00C43FDF">
        <w:rPr>
          <w:i/>
          <w:szCs w:val="28"/>
        </w:rPr>
        <w:t>Alatiel o del tempo reversibile. Teologia e mondanità in</w:t>
      </w:r>
      <w:r w:rsidR="00FC6892" w:rsidRPr="00C43FDF">
        <w:rPr>
          <w:szCs w:val="28"/>
        </w:rPr>
        <w:t xml:space="preserve"> </w:t>
      </w:r>
      <w:r w:rsidR="00FC6892" w:rsidRPr="00C43FDF">
        <w:rPr>
          <w:iCs/>
          <w:szCs w:val="28"/>
        </w:rPr>
        <w:t>Decameron</w:t>
      </w:r>
      <w:r w:rsidR="00FC6892" w:rsidRPr="00C43FDF">
        <w:rPr>
          <w:szCs w:val="28"/>
        </w:rPr>
        <w:t xml:space="preserve"> II 7, «Studi sul Boccaccio»</w:t>
      </w:r>
      <w:r w:rsidR="00FC6892">
        <w:rPr>
          <w:szCs w:val="28"/>
        </w:rPr>
        <w:t>, XLIII, 2015, pp. 53-76</w:t>
      </w:r>
      <w:r w:rsidR="00FC6892" w:rsidRPr="00C43FDF">
        <w:rPr>
          <w:szCs w:val="28"/>
        </w:rPr>
        <w:t>;</w:t>
      </w:r>
    </w:p>
    <w:p w:rsidR="007C3B39" w:rsidRDefault="007C3B39" w:rsidP="005A130F">
      <w:pPr>
        <w:spacing w:line="240" w:lineRule="auto"/>
        <w:ind w:left="284" w:right="-27"/>
      </w:pPr>
    </w:p>
    <w:p w:rsidR="00FC6892" w:rsidRDefault="007770CB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A044A6">
        <w:t>L’appetito</w:t>
      </w:r>
      <w:r w:rsidR="00FC6892" w:rsidRPr="00287201">
        <w:rPr>
          <w:i/>
        </w:rPr>
        <w:t xml:space="preserve"> e il piacere. Fonti e intertesti di </w:t>
      </w:r>
      <w:r w:rsidR="00FC6892" w:rsidRPr="00287201">
        <w:t>Decameron</w:t>
      </w:r>
      <w:r w:rsidR="00FC6892" w:rsidRPr="00287201">
        <w:rPr>
          <w:i/>
        </w:rPr>
        <w:t>, X 7</w:t>
      </w:r>
      <w:r w:rsidR="00FC6892">
        <w:t xml:space="preserve">, numero speciale di «Levia Gravia», </w:t>
      </w:r>
      <w:r w:rsidR="00FC6892" w:rsidRPr="006B30E0">
        <w:rPr>
          <w:rFonts w:cs="Palatino-Roman"/>
          <w:szCs w:val="14"/>
        </w:rPr>
        <w:t>XV</w:t>
      </w:r>
      <w:r w:rsidR="00FC6892" w:rsidRPr="006B30E0">
        <w:rPr>
          <w:rFonts w:cs="Palatino-Roman"/>
          <w:szCs w:val="19"/>
        </w:rPr>
        <w:t>-</w:t>
      </w:r>
      <w:r w:rsidR="00FC6892" w:rsidRPr="006B30E0">
        <w:rPr>
          <w:rFonts w:cs="Palatino-Roman"/>
          <w:szCs w:val="14"/>
        </w:rPr>
        <w:t xml:space="preserve">XVI </w:t>
      </w:r>
      <w:r w:rsidR="00FC6892" w:rsidRPr="006B30E0">
        <w:rPr>
          <w:rFonts w:cs="Palatino-Roman"/>
          <w:szCs w:val="19"/>
        </w:rPr>
        <w:t>(2013-2014)</w:t>
      </w:r>
      <w:r w:rsidR="00FC6892">
        <w:t xml:space="preserve"> [ma 2015], pp</w:t>
      </w:r>
      <w:r w:rsidR="00FC6892" w:rsidRPr="006B30E0">
        <w:rPr>
          <w:rFonts w:cs="Palatino-Roman"/>
          <w:szCs w:val="19"/>
        </w:rPr>
        <w:t>. 47-59</w:t>
      </w:r>
      <w:r w:rsidR="00FC6892" w:rsidRPr="006B30E0">
        <w:t>;</w:t>
      </w:r>
    </w:p>
    <w:p w:rsidR="007C3B39" w:rsidRDefault="007C3B39" w:rsidP="005A130F">
      <w:pPr>
        <w:spacing w:line="240" w:lineRule="auto"/>
        <w:ind w:left="284" w:right="-27"/>
      </w:pPr>
    </w:p>
    <w:p w:rsidR="00B73794" w:rsidRDefault="007C3B39" w:rsidP="005A130F">
      <w:pPr>
        <w:spacing w:line="240" w:lineRule="auto"/>
        <w:ind w:left="284" w:right="-27"/>
      </w:pPr>
      <w:r>
        <w:t>-</w:t>
      </w:r>
      <w:r w:rsidR="00B73794">
        <w:t xml:space="preserve"> </w:t>
      </w:r>
      <w:r w:rsidR="00B73794">
        <w:rPr>
          <w:i/>
        </w:rPr>
        <w:t>Dialogo (dialogus)</w:t>
      </w:r>
      <w:r w:rsidR="00B73794">
        <w:t xml:space="preserve">, in </w:t>
      </w:r>
      <w:r w:rsidR="00B73794">
        <w:rPr>
          <w:i/>
        </w:rPr>
        <w:t>Giordano Bruno. Parole concetti immagini</w:t>
      </w:r>
      <w:r w:rsidR="00B73794">
        <w:t>, diretto da M. Ciliberto, Pisa, Edizioni della Scuola Normale Superiore, 2014, pp. 504-509;</w:t>
      </w:r>
    </w:p>
    <w:p w:rsidR="00B73794" w:rsidRDefault="00B73794" w:rsidP="005A130F">
      <w:pPr>
        <w:widowControl w:val="0"/>
        <w:autoSpaceDE w:val="0"/>
        <w:autoSpaceDN w:val="0"/>
        <w:adjustRightInd w:val="0"/>
        <w:spacing w:line="240" w:lineRule="auto"/>
        <w:ind w:left="284" w:right="-27"/>
      </w:pPr>
    </w:p>
    <w:p w:rsidR="00FC6892" w:rsidRDefault="007770CB" w:rsidP="005A130F">
      <w:pPr>
        <w:widowControl w:val="0"/>
        <w:autoSpaceDE w:val="0"/>
        <w:autoSpaceDN w:val="0"/>
        <w:adjustRightInd w:val="0"/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B54EC3">
        <w:rPr>
          <w:rFonts w:cs="Helvetica-Bold"/>
          <w:bCs/>
          <w:i/>
          <w:szCs w:val="32"/>
        </w:rPr>
        <w:t>Federigo e il re di Cipro: Note su Boccaccio lettore di Aristotele</w:t>
      </w:r>
      <w:r w:rsidR="00FC6892" w:rsidRPr="00B54EC3">
        <w:rPr>
          <w:rFonts w:cs="Helvetica-Bold"/>
          <w:bCs/>
          <w:szCs w:val="32"/>
        </w:rPr>
        <w:t>, «</w:t>
      </w:r>
      <w:r w:rsidR="00FC6892" w:rsidRPr="00B54EC3">
        <w:rPr>
          <w:rFonts w:cs="Helvetica-Bold"/>
        </w:rPr>
        <w:t xml:space="preserve">MLN», 129/1 (Italian Issue), </w:t>
      </w:r>
      <w:r w:rsidR="00B73794">
        <w:rPr>
          <w:rFonts w:cs="Helvetica-Bold"/>
        </w:rPr>
        <w:t xml:space="preserve">2014, </w:t>
      </w:r>
      <w:r w:rsidR="00FC6892" w:rsidRPr="00B54EC3">
        <w:rPr>
          <w:rFonts w:cs="Helvetica-Bold"/>
        </w:rPr>
        <w:t>pp. 180-191</w:t>
      </w:r>
      <w:r w:rsidR="00FC6892">
        <w:t xml:space="preserve"> </w:t>
      </w:r>
    </w:p>
    <w:p w:rsidR="007C3B39" w:rsidRDefault="007C3B39" w:rsidP="005A130F">
      <w:pPr>
        <w:widowControl w:val="0"/>
        <w:autoSpaceDE w:val="0"/>
        <w:autoSpaceDN w:val="0"/>
        <w:adjustRightInd w:val="0"/>
        <w:spacing w:line="240" w:lineRule="auto"/>
        <w:ind w:left="284" w:right="-27"/>
      </w:pPr>
    </w:p>
    <w:p w:rsidR="00FC6892" w:rsidRPr="00B54EC3" w:rsidRDefault="007770CB" w:rsidP="005A130F">
      <w:pPr>
        <w:widowControl w:val="0"/>
        <w:autoSpaceDE w:val="0"/>
        <w:autoSpaceDN w:val="0"/>
        <w:adjustRightInd w:val="0"/>
        <w:spacing w:line="240" w:lineRule="auto"/>
        <w:ind w:left="284" w:right="-27"/>
        <w:rPr>
          <w:rFonts w:ascii="Helvetica-Bold" w:hAnsi="Helvetica-Bold" w:cs="Helvetica-Bold"/>
          <w:b/>
          <w:bCs/>
          <w:sz w:val="32"/>
          <w:szCs w:val="32"/>
        </w:rPr>
      </w:pPr>
      <w:r>
        <w:t>-</w:t>
      </w:r>
      <w:r w:rsidR="00FC6892">
        <w:t xml:space="preserve"> </w:t>
      </w:r>
      <w:r w:rsidR="00FC6892" w:rsidRPr="00932D4B">
        <w:rPr>
          <w:i/>
        </w:rPr>
        <w:t>Le leggi d’amore. A proposito di «Decameron», V 9</w:t>
      </w:r>
      <w:r w:rsidR="00FC6892" w:rsidRPr="00932D4B">
        <w:t>, «Strumenti critici», XXVIII/3, 2013, pp. 363-381;</w:t>
      </w:r>
    </w:p>
    <w:p w:rsidR="007C1370" w:rsidRDefault="007C1370" w:rsidP="005A130F">
      <w:pPr>
        <w:spacing w:line="240" w:lineRule="auto"/>
        <w:ind w:left="284" w:right="-27"/>
      </w:pPr>
    </w:p>
    <w:p w:rsidR="00385FBB" w:rsidRPr="00932D4B" w:rsidRDefault="00385FBB" w:rsidP="005A130F">
      <w:pPr>
        <w:spacing w:line="240" w:lineRule="auto"/>
        <w:ind w:left="284" w:right="-27"/>
        <w:rPr>
          <w:b/>
        </w:rPr>
      </w:pPr>
      <w:r>
        <w:t xml:space="preserve">- </w:t>
      </w:r>
      <w:r w:rsidRPr="00932D4B">
        <w:rPr>
          <w:i/>
        </w:rPr>
        <w:t xml:space="preserve">La poesia e il tempo. Le due poetiche dei </w:t>
      </w:r>
      <w:r w:rsidRPr="00932D4B">
        <w:t>Furori,</w:t>
      </w:r>
      <w:r w:rsidRPr="00932D4B">
        <w:rPr>
          <w:i/>
        </w:rPr>
        <w:t xml:space="preserve"> </w:t>
      </w:r>
      <w:r w:rsidRPr="00932D4B">
        <w:t>Atti del convegno «Giordano Bruno nel XXI secolo», Firenze, Olschki, 2012, pp. 103-119;</w:t>
      </w:r>
    </w:p>
    <w:p w:rsidR="007C1370" w:rsidRDefault="007C1370" w:rsidP="005A130F">
      <w:pPr>
        <w:spacing w:line="240" w:lineRule="auto"/>
        <w:ind w:left="284" w:right="-27"/>
      </w:pPr>
    </w:p>
    <w:p w:rsidR="00385FBB" w:rsidRPr="00932D4B" w:rsidRDefault="00385FBB" w:rsidP="005A130F">
      <w:pPr>
        <w:spacing w:line="240" w:lineRule="auto"/>
        <w:ind w:left="284" w:right="-27"/>
      </w:pPr>
      <w:r>
        <w:t xml:space="preserve">- </w:t>
      </w:r>
      <w:r w:rsidRPr="00932D4B">
        <w:rPr>
          <w:i/>
        </w:rPr>
        <w:t>Una mappa per l’</w:t>
      </w:r>
      <w:r w:rsidRPr="00932D4B">
        <w:t xml:space="preserve">inventio. </w:t>
      </w:r>
      <w:r w:rsidRPr="00932D4B">
        <w:rPr>
          <w:i/>
        </w:rPr>
        <w:t>L’</w:t>
      </w:r>
      <w:r w:rsidRPr="00932D4B">
        <w:t xml:space="preserve">Etica Nicomachea </w:t>
      </w:r>
      <w:r w:rsidRPr="00932D4B">
        <w:rPr>
          <w:i/>
        </w:rPr>
        <w:t xml:space="preserve">e la prima giornata del </w:t>
      </w:r>
      <w:r w:rsidRPr="00932D4B">
        <w:t>Decameron, «Studi sul Boccaccio», XL, 2012, pp. 3-30;</w:t>
      </w:r>
    </w:p>
    <w:p w:rsidR="005F3DEE" w:rsidRDefault="005F3DEE" w:rsidP="005A130F">
      <w:pPr>
        <w:widowControl w:val="0"/>
        <w:autoSpaceDE w:val="0"/>
        <w:autoSpaceDN w:val="0"/>
        <w:adjustRightInd w:val="0"/>
        <w:spacing w:line="240" w:lineRule="auto"/>
        <w:ind w:left="284" w:right="-27"/>
        <w:rPr>
          <w:rFonts w:cs="AdvP7BCC"/>
          <w:szCs w:val="22"/>
          <w:lang w:bidi="it-IT"/>
        </w:rPr>
      </w:pPr>
    </w:p>
    <w:p w:rsidR="00385FBB" w:rsidRPr="00932D4B" w:rsidRDefault="00BB4AEF" w:rsidP="005A130F">
      <w:pPr>
        <w:widowControl w:val="0"/>
        <w:autoSpaceDE w:val="0"/>
        <w:autoSpaceDN w:val="0"/>
        <w:adjustRightInd w:val="0"/>
        <w:spacing w:line="240" w:lineRule="auto"/>
        <w:ind w:left="284" w:right="-27"/>
      </w:pPr>
      <w:r>
        <w:rPr>
          <w:rFonts w:cs="AdvP7BCC"/>
          <w:szCs w:val="22"/>
          <w:lang w:bidi="it-IT"/>
        </w:rPr>
        <w:t>-</w:t>
      </w:r>
      <w:r w:rsidR="00385FBB">
        <w:rPr>
          <w:rFonts w:cs="AdvP7BCC"/>
          <w:szCs w:val="22"/>
          <w:lang w:bidi="it-IT"/>
        </w:rPr>
        <w:t xml:space="preserve"> </w:t>
      </w:r>
      <w:r w:rsidR="00385FBB" w:rsidRPr="00932D4B">
        <w:rPr>
          <w:rFonts w:cs="AdvP7BCC"/>
          <w:i/>
          <w:szCs w:val="22"/>
          <w:lang w:bidi="it-IT"/>
        </w:rPr>
        <w:t>Le cronache, i libri e la memoria. Tempo e scrittura nei</w:t>
      </w:r>
      <w:r w:rsidR="00385FBB" w:rsidRPr="00932D4B">
        <w:rPr>
          <w:rFonts w:cs="AdvP7BCC"/>
          <w:szCs w:val="22"/>
          <w:lang w:bidi="it-IT"/>
        </w:rPr>
        <w:t xml:space="preserve"> Marmi, in </w:t>
      </w:r>
      <w:r w:rsidR="00385FBB" w:rsidRPr="00932D4B">
        <w:rPr>
          <w:rFonts w:cs="AdvP7BCC"/>
          <w:i/>
          <w:szCs w:val="22"/>
          <w:lang w:bidi="it-IT"/>
        </w:rPr>
        <w:t xml:space="preserve">I </w:t>
      </w:r>
      <w:r w:rsidR="00385FBB" w:rsidRPr="00932D4B">
        <w:rPr>
          <w:rFonts w:cs="AdvP7BCC"/>
          <w:szCs w:val="22"/>
          <w:lang w:bidi="it-IT"/>
        </w:rPr>
        <w:t>Marmi</w:t>
      </w:r>
      <w:r w:rsidR="00385FBB" w:rsidRPr="00932D4B">
        <w:rPr>
          <w:rFonts w:cs="AdvP7BCC"/>
          <w:i/>
          <w:szCs w:val="22"/>
          <w:lang w:bidi="it-IT"/>
        </w:rPr>
        <w:t xml:space="preserve"> di Anton Francesco Doni: la storia i generi e le arti</w:t>
      </w:r>
      <w:r w:rsidR="00385FBB" w:rsidRPr="00932D4B">
        <w:rPr>
          <w:rFonts w:cs="AdvP7BCC"/>
          <w:szCs w:val="22"/>
          <w:lang w:bidi="it-IT"/>
        </w:rPr>
        <w:t>, a cura di G. Rizzarelli, Firenze, L. Olschki, 2012, pp. 207-226;</w:t>
      </w:r>
    </w:p>
    <w:p w:rsidR="005F3DEE" w:rsidRDefault="005F3DEE" w:rsidP="005A130F">
      <w:pPr>
        <w:spacing w:line="240" w:lineRule="auto"/>
        <w:ind w:left="284" w:right="-27"/>
      </w:pPr>
    </w:p>
    <w:p w:rsidR="00BB4AEF" w:rsidRPr="00932D4B" w:rsidRDefault="00BB4AEF" w:rsidP="005A130F">
      <w:pPr>
        <w:spacing w:line="240" w:lineRule="auto"/>
        <w:ind w:left="284" w:right="-27"/>
      </w:pPr>
      <w:r>
        <w:t xml:space="preserve">- </w:t>
      </w:r>
      <w:r w:rsidRPr="00932D4B">
        <w:rPr>
          <w:i/>
        </w:rPr>
        <w:t xml:space="preserve">Mappe dell’altrove. Luoghi e tempi in </w:t>
      </w:r>
      <w:r w:rsidRPr="00932D4B">
        <w:t>Cristo si è fermato a Eboli, «Italianistica», XLI, 3, 2012, pp. 35-51;</w:t>
      </w:r>
    </w:p>
    <w:p w:rsidR="005F3DEE" w:rsidRDefault="005F3DEE" w:rsidP="005A130F">
      <w:pPr>
        <w:spacing w:line="240" w:lineRule="auto"/>
        <w:ind w:left="284" w:right="-27"/>
      </w:pPr>
    </w:p>
    <w:p w:rsidR="00385FBB" w:rsidRPr="00932D4B" w:rsidRDefault="00BB4AEF" w:rsidP="005A130F">
      <w:pPr>
        <w:spacing w:line="240" w:lineRule="auto"/>
        <w:ind w:left="284" w:right="-27"/>
      </w:pPr>
      <w:r>
        <w:t>-</w:t>
      </w:r>
      <w:r w:rsidR="00385FBB">
        <w:t xml:space="preserve"> </w:t>
      </w:r>
      <w:r w:rsidR="00385FBB" w:rsidRPr="00932D4B">
        <w:rPr>
          <w:i/>
        </w:rPr>
        <w:t xml:space="preserve">Il lavoro delle api. La ricezione del </w:t>
      </w:r>
      <w:r w:rsidR="00385FBB" w:rsidRPr="00932D4B">
        <w:t>Furioso</w:t>
      </w:r>
      <w:r w:rsidR="00385FBB" w:rsidRPr="00932D4B">
        <w:rPr>
          <w:i/>
        </w:rPr>
        <w:t xml:space="preserve"> nelle edizioni illustrate del secondo Cinquecento</w:t>
      </w:r>
      <w:r w:rsidR="00385FBB" w:rsidRPr="00932D4B">
        <w:t xml:space="preserve">, in </w:t>
      </w:r>
      <w:r w:rsidR="00385FBB" w:rsidRPr="00932D4B">
        <w:rPr>
          <w:i/>
        </w:rPr>
        <w:t>«Tra mille carte vive ancora». Ricezione del</w:t>
      </w:r>
      <w:r w:rsidR="00385FBB" w:rsidRPr="00932D4B">
        <w:t xml:space="preserve"> Furioso </w:t>
      </w:r>
      <w:r w:rsidR="00385FBB" w:rsidRPr="00932D4B">
        <w:rPr>
          <w:i/>
        </w:rPr>
        <w:t>tra immagini e parole</w:t>
      </w:r>
      <w:r w:rsidR="00385FBB" w:rsidRPr="00932D4B">
        <w:t>, a cura di L. Bolzoni, S. Pezzini, G. Rizzarelli, Lucca, Pacini Fazzi, 2011, pp. 199-215.</w:t>
      </w:r>
    </w:p>
    <w:p w:rsidR="005F3DEE" w:rsidRDefault="005F3DEE" w:rsidP="005A130F">
      <w:pPr>
        <w:spacing w:line="240" w:lineRule="auto"/>
        <w:ind w:left="284" w:right="-27"/>
      </w:pPr>
    </w:p>
    <w:p w:rsidR="00FC6892" w:rsidRPr="00932D4B" w:rsidRDefault="00293B9C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932D4B">
        <w:rPr>
          <w:i/>
        </w:rPr>
        <w:t>Narciso e i Sileni. Il ritratto mentale nella lirica da Lorenzo a Tasso</w:t>
      </w:r>
      <w:r w:rsidR="00FC6892" w:rsidRPr="00932D4B">
        <w:t xml:space="preserve">, in </w:t>
      </w:r>
      <w:r w:rsidR="00FC6892" w:rsidRPr="00932D4B">
        <w:rPr>
          <w:i/>
        </w:rPr>
        <w:t>La cultura visuale</w:t>
      </w:r>
      <w:r w:rsidR="00FC6892" w:rsidRPr="00932D4B">
        <w:t>, numero monografico di «Italianistica», XXXVIII, 2, 2009, pp. 271-283;</w:t>
      </w:r>
    </w:p>
    <w:p w:rsidR="005F3DEE" w:rsidRDefault="005F3DEE" w:rsidP="005A130F">
      <w:pPr>
        <w:spacing w:line="240" w:lineRule="auto"/>
        <w:ind w:left="284" w:right="-27"/>
      </w:pPr>
    </w:p>
    <w:p w:rsidR="00FC6892" w:rsidRPr="00932D4B" w:rsidRDefault="00293B9C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932D4B">
        <w:rPr>
          <w:i/>
        </w:rPr>
        <w:t>Napoli illustrata: immagine e rappresentazione letteraria nella scrittura di Salvatore Di Giacomo</w:t>
      </w:r>
      <w:r w:rsidR="00FC6892" w:rsidRPr="00932D4B">
        <w:t>, «Intersezioni», 2008, 3, pp. 447-464;</w:t>
      </w:r>
    </w:p>
    <w:p w:rsidR="005F3DEE" w:rsidRDefault="005F3DEE" w:rsidP="005A130F">
      <w:pPr>
        <w:spacing w:line="240" w:lineRule="auto"/>
        <w:ind w:left="284" w:right="-27"/>
      </w:pPr>
    </w:p>
    <w:p w:rsidR="00FC6892" w:rsidRPr="00932D4B" w:rsidRDefault="00293B9C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932D4B">
        <w:rPr>
          <w:i/>
        </w:rPr>
        <w:t xml:space="preserve">Aristotele tra Dante e Petrarca: la ricezione della </w:t>
      </w:r>
      <w:r w:rsidR="00FC6892" w:rsidRPr="00932D4B">
        <w:t>Poetica</w:t>
      </w:r>
      <w:r w:rsidR="00FC6892" w:rsidRPr="00932D4B">
        <w:rPr>
          <w:i/>
        </w:rPr>
        <w:t xml:space="preserve"> nelle lezioni di Giambattista Gelli all’Accademia Fiorentina</w:t>
      </w:r>
      <w:r w:rsidR="00FC6892" w:rsidRPr="00932D4B">
        <w:t xml:space="preserve">, «Bruniana &amp; Campanelliana», XIII, 2, 2007, pp. 463-476; </w:t>
      </w:r>
    </w:p>
    <w:p w:rsidR="005F3DEE" w:rsidRDefault="005F3DEE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BB4AEF" w:rsidRPr="00932D4B" w:rsidRDefault="00BB4AEF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 xml:space="preserve">- </w:t>
      </w:r>
      <w:r w:rsidRPr="00932D4B">
        <w:rPr>
          <w:rFonts w:ascii="Bodoni SvtyTwo OS ITC TT-Book" w:hAnsi="Bodoni SvtyTwo OS ITC TT-Book"/>
          <w:b w:val="0"/>
          <w:i/>
          <w:sz w:val="24"/>
        </w:rPr>
        <w:t xml:space="preserve">I volgarizzamenti e la felicità mentale: l’«umana perfezione» nella </w:t>
      </w:r>
      <w:r w:rsidRPr="00932D4B">
        <w:rPr>
          <w:rFonts w:ascii="Bodoni SvtyTwo OS ITC TT-Book" w:hAnsi="Bodoni SvtyTwo OS ITC TT-Book"/>
          <w:b w:val="0"/>
          <w:sz w:val="24"/>
        </w:rPr>
        <w:t>Filosofia naturale</w:t>
      </w:r>
      <w:r w:rsidRPr="00932D4B">
        <w:rPr>
          <w:rFonts w:ascii="Bodoni SvtyTwo OS ITC TT-Book" w:hAnsi="Bodoni SvtyTwo OS ITC TT-Book"/>
          <w:b w:val="0"/>
          <w:i/>
          <w:sz w:val="24"/>
        </w:rPr>
        <w:t xml:space="preserve"> di Alessandro Piccolomini</w:t>
      </w:r>
      <w:r w:rsidRPr="00932D4B">
        <w:rPr>
          <w:rFonts w:ascii="Bodoni SvtyTwo OS ITC TT-Book" w:hAnsi="Bodoni SvtyTwo OS ITC TT-Book"/>
          <w:b w:val="0"/>
          <w:sz w:val="24"/>
        </w:rPr>
        <w:t xml:space="preserve">, in </w:t>
      </w:r>
      <w:r w:rsidRPr="00932D4B">
        <w:rPr>
          <w:rFonts w:ascii="Bodoni SvtyTwo OS ITC TT-Book" w:hAnsi="Bodoni SvtyTwo OS ITC TT-Book"/>
          <w:b w:val="0"/>
          <w:i/>
          <w:sz w:val="24"/>
        </w:rPr>
        <w:t>Lo scaffale della biblioteca scientifica in volgare (secoli XIII-XVI)</w:t>
      </w:r>
      <w:r w:rsidRPr="00932D4B">
        <w:rPr>
          <w:rFonts w:ascii="Bodoni SvtyTwo OS ITC TT-Book" w:hAnsi="Bodoni SvtyTwo OS ITC TT-Book"/>
          <w:b w:val="0"/>
          <w:sz w:val="24"/>
        </w:rPr>
        <w:t>, a c. di R. Librandi e R. Piro</w:t>
      </w:r>
      <w:r w:rsidRPr="00932D4B">
        <w:rPr>
          <w:rFonts w:ascii="Bodoni SvtyTwo OS ITC TT-Book" w:hAnsi="Bodoni SvtyTwo OS ITC TT-Book"/>
          <w:b w:val="0"/>
          <w:i/>
          <w:sz w:val="24"/>
        </w:rPr>
        <w:t xml:space="preserve">, </w:t>
      </w:r>
      <w:r w:rsidRPr="00932D4B">
        <w:rPr>
          <w:rFonts w:ascii="Bodoni SvtyTwo OS ITC TT-Book" w:hAnsi="Bodoni SvtyTwo OS ITC TT-Book"/>
          <w:b w:val="0"/>
          <w:sz w:val="24"/>
        </w:rPr>
        <w:t xml:space="preserve">Firenze, Sismel-Edizioni del Galluzzo 2006, pp. 453-468; </w:t>
      </w:r>
    </w:p>
    <w:p w:rsidR="005F3DEE" w:rsidRDefault="005F3DEE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42028D" w:rsidRPr="00932D4B" w:rsidRDefault="0042028D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 xml:space="preserve">- </w:t>
      </w:r>
      <w:r w:rsidRPr="00932D4B">
        <w:rPr>
          <w:rFonts w:ascii="Bodoni SvtyTwo OS ITC TT-Book" w:hAnsi="Bodoni SvtyTwo OS ITC TT-Book"/>
          <w:b w:val="0"/>
          <w:i/>
          <w:sz w:val="24"/>
        </w:rPr>
        <w:t>Tra parola e immagine. Retorica e arte della memoria nell’</w:t>
      </w:r>
      <w:r w:rsidRPr="00932D4B">
        <w:rPr>
          <w:rFonts w:ascii="Bodoni SvtyTwo OS ITC TT-Book" w:hAnsi="Bodoni SvtyTwo OS ITC TT-Book"/>
          <w:b w:val="0"/>
          <w:sz w:val="24"/>
        </w:rPr>
        <w:t>Artificium perorandi</w:t>
      </w:r>
      <w:r w:rsidRPr="00932D4B">
        <w:rPr>
          <w:rFonts w:ascii="Bodoni SvtyTwo OS ITC TT-Book" w:hAnsi="Bodoni SvtyTwo OS ITC TT-Book"/>
          <w:b w:val="0"/>
          <w:i/>
          <w:sz w:val="24"/>
        </w:rPr>
        <w:t xml:space="preserve"> e negli scritti magici</w:t>
      </w:r>
      <w:r w:rsidRPr="00932D4B">
        <w:rPr>
          <w:rFonts w:ascii="Bodoni SvtyTwo OS ITC TT-Book" w:hAnsi="Bodoni SvtyTwo OS ITC TT-Book"/>
          <w:b w:val="0"/>
          <w:sz w:val="24"/>
        </w:rPr>
        <w:t xml:space="preserve">, in </w:t>
      </w:r>
      <w:r w:rsidRPr="00932D4B">
        <w:rPr>
          <w:rFonts w:ascii="Bodoni SvtyTwo OS ITC TT-Book" w:hAnsi="Bodoni SvtyTwo OS ITC TT-Book"/>
          <w:b w:val="0"/>
          <w:i/>
          <w:sz w:val="24"/>
        </w:rPr>
        <w:t>La mente di Giordano Bruno</w:t>
      </w:r>
      <w:r w:rsidRPr="00932D4B">
        <w:rPr>
          <w:rFonts w:ascii="Bodoni SvtyTwo OS ITC TT-Book" w:hAnsi="Bodoni SvtyTwo OS ITC TT-Book"/>
          <w:b w:val="0"/>
          <w:sz w:val="24"/>
        </w:rPr>
        <w:t xml:space="preserve">, a c. di F. Meroi, Firenze, Olschki 2004, pp. 343-368; </w:t>
      </w:r>
    </w:p>
    <w:p w:rsidR="00B6462F" w:rsidRDefault="00B6462F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</w:p>
    <w:p w:rsidR="00FC6892" w:rsidRPr="00932D4B" w:rsidRDefault="00293B9C" w:rsidP="005A130F">
      <w:pPr>
        <w:pStyle w:val="Rientrocorpodeltesto"/>
        <w:spacing w:line="240" w:lineRule="auto"/>
        <w:ind w:left="284" w:right="-27" w:firstLine="0"/>
        <w:jc w:val="both"/>
        <w:rPr>
          <w:rFonts w:ascii="Bodoni SvtyTwo OS ITC TT-Book" w:hAnsi="Bodoni SvtyTwo OS ITC TT-Book"/>
          <w:b w:val="0"/>
          <w:sz w:val="24"/>
        </w:rPr>
      </w:pPr>
      <w:r>
        <w:rPr>
          <w:rFonts w:ascii="Bodoni SvtyTwo OS ITC TT-Book" w:hAnsi="Bodoni SvtyTwo OS ITC TT-Book"/>
          <w:b w:val="0"/>
          <w:sz w:val="24"/>
        </w:rPr>
        <w:t>-</w:t>
      </w:r>
      <w:r w:rsidR="00FC6892">
        <w:rPr>
          <w:rFonts w:ascii="Bodoni SvtyTwo OS ITC TT-Book" w:hAnsi="Bodoni SvtyTwo OS ITC TT-Book"/>
          <w:b w:val="0"/>
          <w:sz w:val="24"/>
        </w:rPr>
        <w:t xml:space="preserve"> </w:t>
      </w:r>
      <w:r w:rsidR="00FC6892" w:rsidRPr="00932D4B">
        <w:rPr>
          <w:rFonts w:ascii="Bodoni SvtyTwo OS ITC TT-Book" w:hAnsi="Bodoni SvtyTwo OS ITC TT-Book"/>
          <w:b w:val="0"/>
          <w:i/>
          <w:sz w:val="24"/>
        </w:rPr>
        <w:t xml:space="preserve">Allegorie. Modelli formali e modelli tematici negli </w:t>
      </w:r>
      <w:r w:rsidR="00FC6892" w:rsidRPr="00932D4B">
        <w:rPr>
          <w:rFonts w:ascii="Bodoni SvtyTwo OS ITC TT-Book" w:hAnsi="Bodoni SvtyTwo OS ITC TT-Book"/>
          <w:b w:val="0"/>
          <w:sz w:val="24"/>
        </w:rPr>
        <w:t xml:space="preserve">Eroici Furori </w:t>
      </w:r>
      <w:r w:rsidR="00FC6892" w:rsidRPr="00932D4B">
        <w:rPr>
          <w:rFonts w:ascii="Bodoni SvtyTwo OS ITC TT-Book" w:hAnsi="Bodoni SvtyTwo OS ITC TT-Book"/>
          <w:b w:val="0"/>
          <w:i/>
          <w:sz w:val="24"/>
        </w:rPr>
        <w:t>di Giordano Bruno</w:t>
      </w:r>
      <w:r w:rsidR="00FC6892" w:rsidRPr="00932D4B">
        <w:rPr>
          <w:rFonts w:ascii="Bodoni SvtyTwo OS ITC TT-Book" w:hAnsi="Bodoni SvtyTwo OS ITC TT-Book"/>
          <w:b w:val="0"/>
          <w:sz w:val="24"/>
        </w:rPr>
        <w:t>, «La rassegna della letteratura italiana», VIII, 3, 1994, pp. 38-52;</w:t>
      </w:r>
    </w:p>
    <w:p w:rsidR="00B6462F" w:rsidRDefault="00B6462F" w:rsidP="005A130F">
      <w:pPr>
        <w:tabs>
          <w:tab w:val="left" w:pos="7513"/>
        </w:tabs>
        <w:spacing w:line="240" w:lineRule="auto"/>
        <w:ind w:left="284" w:right="-27"/>
      </w:pPr>
    </w:p>
    <w:p w:rsidR="00492A3F" w:rsidRDefault="00492A3F" w:rsidP="005A130F">
      <w:pPr>
        <w:tabs>
          <w:tab w:val="left" w:pos="7513"/>
        </w:tabs>
        <w:spacing w:line="240" w:lineRule="auto"/>
        <w:ind w:left="284" w:right="-27"/>
      </w:pPr>
      <w:r>
        <w:t xml:space="preserve">- </w:t>
      </w:r>
      <w:r w:rsidRPr="004F309F">
        <w:rPr>
          <w:i/>
        </w:rPr>
        <w:t>Appunti</w:t>
      </w:r>
      <w:r w:rsidRPr="00932D4B">
        <w:rPr>
          <w:i/>
        </w:rPr>
        <w:t xml:space="preserve"> sull’</w:t>
      </w:r>
      <w:r w:rsidRPr="00932D4B">
        <w:t xml:space="preserve">Esposizione </w:t>
      </w:r>
      <w:r w:rsidRPr="00932D4B">
        <w:rPr>
          <w:i/>
        </w:rPr>
        <w:t xml:space="preserve">alla </w:t>
      </w:r>
      <w:r w:rsidRPr="00932D4B">
        <w:t xml:space="preserve">Scelta d’alcune poesie filosofiche </w:t>
      </w:r>
      <w:r w:rsidRPr="00932D4B">
        <w:rPr>
          <w:i/>
        </w:rPr>
        <w:t>di Tommaso Campanella</w:t>
      </w:r>
      <w:r w:rsidRPr="00932D4B">
        <w:t xml:space="preserve">, in </w:t>
      </w:r>
      <w:r w:rsidRPr="00932D4B">
        <w:rPr>
          <w:i/>
        </w:rPr>
        <w:t>L’Autocommento</w:t>
      </w:r>
      <w:r w:rsidRPr="00932D4B">
        <w:t>, Esedra, Padova, 1994, pp. 38-45;</w:t>
      </w:r>
    </w:p>
    <w:p w:rsidR="00B6462F" w:rsidRDefault="00B6462F" w:rsidP="005A130F">
      <w:pPr>
        <w:spacing w:line="240" w:lineRule="auto"/>
        <w:ind w:left="284" w:right="-27"/>
      </w:pPr>
    </w:p>
    <w:p w:rsidR="00FC6892" w:rsidRPr="00932D4B" w:rsidRDefault="00293B9C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932D4B">
        <w:rPr>
          <w:i/>
        </w:rPr>
        <w:t xml:space="preserve">L’ordine del labirinto: per una lettura della </w:t>
      </w:r>
      <w:r w:rsidR="00FC6892" w:rsidRPr="00932D4B">
        <w:t xml:space="preserve">Scelta d’alcune poesie filosofiche </w:t>
      </w:r>
      <w:r w:rsidR="00FC6892" w:rsidRPr="00932D4B">
        <w:rPr>
          <w:i/>
        </w:rPr>
        <w:t>di Tommaso Campanella</w:t>
      </w:r>
      <w:r w:rsidR="00FC6892" w:rsidRPr="00932D4B">
        <w:t>, «Rivista di letteratura italiana», X, 1-2, 1992, pp. 105-136.</w:t>
      </w:r>
    </w:p>
    <w:p w:rsidR="00A10FF1" w:rsidRDefault="00A10FF1" w:rsidP="005A130F">
      <w:pPr>
        <w:tabs>
          <w:tab w:val="left" w:pos="7513"/>
        </w:tabs>
        <w:spacing w:line="240" w:lineRule="auto"/>
        <w:ind w:right="-27" w:firstLine="284"/>
        <w:rPr>
          <w:b/>
        </w:rPr>
      </w:pPr>
    </w:p>
    <w:p w:rsidR="00FC6892" w:rsidRDefault="00FC6892" w:rsidP="005A130F">
      <w:pPr>
        <w:tabs>
          <w:tab w:val="left" w:pos="7513"/>
        </w:tabs>
        <w:spacing w:line="240" w:lineRule="auto"/>
        <w:ind w:right="-27" w:firstLine="284"/>
        <w:rPr>
          <w:b/>
        </w:rPr>
      </w:pPr>
      <w:r>
        <w:rPr>
          <w:b/>
        </w:rPr>
        <w:t>data base</w:t>
      </w:r>
      <w:r w:rsidRPr="0018387D">
        <w:rPr>
          <w:b/>
        </w:rPr>
        <w:t>:</w:t>
      </w:r>
    </w:p>
    <w:p w:rsidR="00FC6892" w:rsidRPr="00B6462F" w:rsidRDefault="00B6462F" w:rsidP="00B6462F">
      <w:pPr>
        <w:tabs>
          <w:tab w:val="left" w:pos="7513"/>
        </w:tabs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9F6D32">
        <w:rPr>
          <w:i/>
        </w:rPr>
        <w:t>L'</w:t>
      </w:r>
      <w:r w:rsidR="00FC6892">
        <w:t xml:space="preserve">Orlando Furioso </w:t>
      </w:r>
      <w:r w:rsidR="00FC6892" w:rsidRPr="009F6D32">
        <w:rPr>
          <w:i/>
        </w:rPr>
        <w:t>e la sua traduzione in immagini</w:t>
      </w:r>
      <w:r w:rsidR="00FC6892">
        <w:t xml:space="preserve">, CTL-Scuola Normale Superiore, </w:t>
      </w:r>
      <w:hyperlink r:id="rId5" w:history="1">
        <w:r w:rsidR="00FC6892" w:rsidRPr="00172FE5">
          <w:rPr>
            <w:rStyle w:val="Collegamentoipertestuale"/>
          </w:rPr>
          <w:t>http://orlandofurioso.org</w:t>
        </w:r>
      </w:hyperlink>
      <w:r w:rsidR="00FC6892">
        <w:t xml:space="preserve"> (in collaborazione con altri autori);</w:t>
      </w:r>
      <w:r w:rsidR="00FC6892" w:rsidRPr="00715456">
        <w:t xml:space="preserve"> </w:t>
      </w:r>
    </w:p>
    <w:p w:rsidR="00B6462F" w:rsidRDefault="00B6462F" w:rsidP="005A130F">
      <w:pPr>
        <w:spacing w:line="240" w:lineRule="auto"/>
        <w:ind w:left="284" w:right="-27"/>
      </w:pPr>
      <w:r>
        <w:t>-</w:t>
      </w:r>
    </w:p>
    <w:p w:rsidR="00FC6892" w:rsidRDefault="00B6462F" w:rsidP="005A130F">
      <w:pPr>
        <w:spacing w:line="240" w:lineRule="auto"/>
        <w:ind w:left="284" w:right="-27"/>
      </w:pPr>
      <w:r>
        <w:t>-</w:t>
      </w:r>
      <w:r w:rsidR="00FC6892">
        <w:t xml:space="preserve"> </w:t>
      </w:r>
      <w:r w:rsidR="00FC6892" w:rsidRPr="0019172A">
        <w:rPr>
          <w:i/>
        </w:rPr>
        <w:t>La vita di Giordano Bruno</w:t>
      </w:r>
      <w:r w:rsidR="00FC6892">
        <w:t>,</w:t>
      </w:r>
      <w:r w:rsidR="00FC6892" w:rsidRPr="00ED151A">
        <w:t xml:space="preserve"> </w:t>
      </w:r>
      <w:r w:rsidR="00FC6892">
        <w:t xml:space="preserve">Signum-Scuola Normale Superiore, </w:t>
      </w:r>
      <w:hyperlink r:id="rId6" w:history="1">
        <w:r w:rsidR="00FC6892" w:rsidRPr="00172FE5">
          <w:rPr>
            <w:rStyle w:val="Collegamentoipertestuale"/>
          </w:rPr>
          <w:t>http://vitadibruno.filosofia.sns.it</w:t>
        </w:r>
      </w:hyperlink>
      <w:r w:rsidR="00FC6892">
        <w:t xml:space="preserve"> (in collaborazione con altri autori)</w:t>
      </w:r>
    </w:p>
    <w:p w:rsidR="00A03280" w:rsidRDefault="00A03280" w:rsidP="005A130F">
      <w:pPr>
        <w:spacing w:line="240" w:lineRule="auto"/>
        <w:ind w:left="284" w:right="-27"/>
      </w:pPr>
    </w:p>
    <w:p w:rsidR="00FC6892" w:rsidRPr="00067C1D" w:rsidRDefault="00A03280" w:rsidP="005A130F">
      <w:pPr>
        <w:spacing w:line="240" w:lineRule="auto"/>
        <w:ind w:left="284" w:right="-27"/>
        <w:rPr>
          <w:b/>
        </w:rPr>
      </w:pPr>
      <w:r>
        <w:t>-</w:t>
      </w:r>
      <w:r w:rsidR="00FC6892">
        <w:t xml:space="preserve"> </w:t>
      </w:r>
      <w:r w:rsidR="00FC6892">
        <w:rPr>
          <w:i/>
        </w:rPr>
        <w:t>La biblioteca ideale di</w:t>
      </w:r>
      <w:r w:rsidR="00FC6892">
        <w:t xml:space="preserve"> </w:t>
      </w:r>
      <w:r w:rsidR="00FC6892" w:rsidRPr="00932D4B">
        <w:rPr>
          <w:i/>
        </w:rPr>
        <w:t>Giordano Bruno</w:t>
      </w:r>
      <w:r w:rsidR="00FC6892" w:rsidRPr="00932D4B">
        <w:t>,</w:t>
      </w:r>
      <w:r w:rsidR="00FC6892">
        <w:t xml:space="preserve"> Signum-Scuola Normale Superiore,</w:t>
      </w:r>
      <w:r w:rsidR="00FC6892" w:rsidRPr="00932D4B">
        <w:t xml:space="preserve"> </w:t>
      </w:r>
      <w:hyperlink r:id="rId7" w:history="1">
        <w:r w:rsidR="00FC6892" w:rsidRPr="00172FE5">
          <w:rPr>
            <w:rStyle w:val="Collegamentoipertestuale"/>
          </w:rPr>
          <w:t>http://bibliotecaideale.filosofia.sns.it</w:t>
        </w:r>
      </w:hyperlink>
      <w:r w:rsidR="00FC6892" w:rsidRPr="00932D4B">
        <w:t xml:space="preserve"> (in collaborazione con altri autori).</w:t>
      </w:r>
    </w:p>
    <w:p w:rsidR="00465AAC" w:rsidRDefault="00465AAC"/>
    <w:sectPr w:rsidR="00465AAC" w:rsidSect="00465AA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doni SvtyTwo OS ITC TT-Book">
    <w:altName w:val="Athelas Regula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dvP7BC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792F"/>
    <w:multiLevelType w:val="hybridMultilevel"/>
    <w:tmpl w:val="10841EA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2ACB8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757A"/>
    <w:rsid w:val="000A4EC9"/>
    <w:rsid w:val="00275D0E"/>
    <w:rsid w:val="00293B9C"/>
    <w:rsid w:val="0032074E"/>
    <w:rsid w:val="00367B89"/>
    <w:rsid w:val="00385FBB"/>
    <w:rsid w:val="0042028D"/>
    <w:rsid w:val="00465AAC"/>
    <w:rsid w:val="00492A3F"/>
    <w:rsid w:val="005A130F"/>
    <w:rsid w:val="005C4D5B"/>
    <w:rsid w:val="005F3DEE"/>
    <w:rsid w:val="006D45C5"/>
    <w:rsid w:val="007770CB"/>
    <w:rsid w:val="007C1370"/>
    <w:rsid w:val="007C3B39"/>
    <w:rsid w:val="00A03280"/>
    <w:rsid w:val="00A10FF1"/>
    <w:rsid w:val="00A55054"/>
    <w:rsid w:val="00AF2956"/>
    <w:rsid w:val="00B31BD1"/>
    <w:rsid w:val="00B36BE8"/>
    <w:rsid w:val="00B6462F"/>
    <w:rsid w:val="00B73794"/>
    <w:rsid w:val="00BB4AEF"/>
    <w:rsid w:val="00CD6516"/>
    <w:rsid w:val="00D54FFC"/>
    <w:rsid w:val="00DD757A"/>
    <w:rsid w:val="00E00863"/>
    <w:rsid w:val="00E57D38"/>
    <w:rsid w:val="00EE63DF"/>
    <w:rsid w:val="00EF1FD7"/>
    <w:rsid w:val="00F55066"/>
    <w:rsid w:val="00FC6892"/>
    <w:rsid w:val="00FF7EC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7A"/>
    <w:pPr>
      <w:spacing w:line="360" w:lineRule="auto"/>
      <w:jc w:val="both"/>
    </w:pPr>
    <w:rPr>
      <w:rFonts w:ascii="Bodoni SvtyTwo OS ITC TT-Book" w:eastAsia="Times New Roman" w:hAnsi="Bodoni SvtyTwo OS ITC TT-Book" w:cs="Arial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6892"/>
    <w:pPr>
      <w:keepNext/>
      <w:spacing w:line="360" w:lineRule="atLeast"/>
      <w:ind w:right="18" w:firstLine="300"/>
      <w:outlineLvl w:val="0"/>
    </w:pPr>
    <w:rPr>
      <w:rFonts w:ascii="Times" w:hAnsi="Times"/>
      <w:i/>
      <w:smallCap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6892"/>
    <w:pPr>
      <w:keepNext/>
      <w:spacing w:before="240" w:after="60"/>
      <w:outlineLvl w:val="1"/>
    </w:pPr>
    <w:rPr>
      <w:rFonts w:ascii="Calibri" w:hAnsi="Calibri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FC6892"/>
    <w:rPr>
      <w:rFonts w:ascii="Times" w:eastAsia="Times New Roman" w:hAnsi="Times" w:cs="Arial"/>
      <w:i/>
      <w:smallCaps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FC6892"/>
    <w:rPr>
      <w:rFonts w:ascii="Calibri" w:eastAsia="Times New Roman" w:hAnsi="Calibri" w:cs="Times New Roman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FC6892"/>
    <w:rPr>
      <w:rFonts w:asciiTheme="majorHAnsi" w:eastAsiaTheme="majorEastAsia" w:hAnsiTheme="majorHAnsi" w:cstheme="majorBidi"/>
      <w:i/>
      <w:iCs/>
      <w:color w:val="244061" w:themeColor="accent1" w:themeShade="80"/>
      <w:lang w:eastAsia="it-IT"/>
    </w:rPr>
  </w:style>
  <w:style w:type="paragraph" w:customStyle="1" w:styleId="Corpodeltesto21">
    <w:name w:val="Corpo del testo 21"/>
    <w:basedOn w:val="Normale"/>
    <w:rsid w:val="00FC6892"/>
    <w:pPr>
      <w:spacing w:line="360" w:lineRule="atLeast"/>
      <w:ind w:right="-594" w:firstLine="300"/>
    </w:pPr>
    <w:rPr>
      <w:rFonts w:ascii="Times" w:hAnsi="Times"/>
    </w:rPr>
  </w:style>
  <w:style w:type="paragraph" w:styleId="Rientrocorpodeltesto">
    <w:name w:val="Body Text Indent"/>
    <w:basedOn w:val="Normale"/>
    <w:link w:val="RientrocorpodeltestoCarattere"/>
    <w:rsid w:val="00FC6892"/>
    <w:pPr>
      <w:spacing w:line="360" w:lineRule="exact"/>
      <w:ind w:firstLine="709"/>
      <w:jc w:val="center"/>
    </w:pPr>
    <w:rPr>
      <w:rFonts w:ascii="Times New Roman" w:hAnsi="Times New Roman" w:cs="Times New Roman"/>
      <w:b/>
      <w:sz w:val="28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FC6892"/>
    <w:rPr>
      <w:rFonts w:ascii="Times New Roman" w:eastAsia="Times New Roman" w:hAnsi="Times New Roman" w:cs="Times New Roman"/>
      <w:b/>
      <w:sz w:val="28"/>
      <w:lang w:eastAsia="it-IT"/>
    </w:rPr>
  </w:style>
  <w:style w:type="character" w:styleId="Collegamentoipertestuale">
    <w:name w:val="Hyperlink"/>
    <w:basedOn w:val="Caratterepredefinitoparagrafo"/>
    <w:rsid w:val="00FC6892"/>
    <w:rPr>
      <w:color w:val="0000FF" w:themeColor="hyperlink"/>
      <w:u w:val="single"/>
    </w:rPr>
  </w:style>
  <w:style w:type="character" w:styleId="CitazioneHTML">
    <w:name w:val="HTML Cite"/>
    <w:basedOn w:val="Caratterepredefinitoparagrafo"/>
    <w:uiPriority w:val="99"/>
    <w:rsid w:val="00FC6892"/>
    <w:rPr>
      <w:i/>
    </w:rPr>
  </w:style>
  <w:style w:type="character" w:styleId="Collegamentovisitato">
    <w:name w:val="FollowedHyperlink"/>
    <w:basedOn w:val="Caratterepredefinitoparagrafo"/>
    <w:rsid w:val="00FC6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rlandofurioso.org" TargetMode="External"/><Relationship Id="rId6" Type="http://schemas.openxmlformats.org/officeDocument/2006/relationships/hyperlink" Target="http://vitadibruno.filosofia.sns.it" TargetMode="External"/><Relationship Id="rId7" Type="http://schemas.openxmlformats.org/officeDocument/2006/relationships/hyperlink" Target="http://bibliotecaideale.filosofia.sns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897</Words>
  <Characters>5114</Characters>
  <Application>Microsoft Macintosh Word</Application>
  <DocSecurity>0</DocSecurity>
  <Lines>42</Lines>
  <Paragraphs>10</Paragraphs>
  <ScaleCrop>false</ScaleCrop>
  <Company>Università della Basilicata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Ellero</dc:creator>
  <cp:keywords/>
  <cp:lastModifiedBy>Maria Pia Ellero</cp:lastModifiedBy>
  <cp:revision>33</cp:revision>
  <dcterms:created xsi:type="dcterms:W3CDTF">2018-01-29T07:55:00Z</dcterms:created>
  <dcterms:modified xsi:type="dcterms:W3CDTF">2018-01-29T08:41:00Z</dcterms:modified>
</cp:coreProperties>
</file>